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cadNusx" w:cs="AcadNusx" w:eastAsia="AcadNusx" w:hAnsi="AcadNusx"/>
          <w:b w:val="0"/>
          <w:i w:val="0"/>
          <w:sz w:val="18"/>
          <w:szCs w:val="18"/>
          <w:u w:val="single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18"/>
              <w:szCs w:val="18"/>
              <w:u w:val="single"/>
              <w:vertAlign w:val="baseline"/>
              <w:rtl w:val="0"/>
            </w:rPr>
            <w:t xml:space="preserve">დამტკიცებულია სსიპ </w:t>
          </w:r>
        </w:sdtContent>
      </w:sdt>
      <w:r w:rsidDel="00000000" w:rsidR="00000000" w:rsidRPr="00000000">
        <w:rPr>
          <w:rFonts w:ascii="AcadNusx" w:cs="AcadNusx" w:eastAsia="AcadNusx" w:hAnsi="AcadNusx"/>
          <w:b w:val="1"/>
          <w:i w:val="1"/>
          <w:sz w:val="18"/>
          <w:szCs w:val="18"/>
          <w:u w:val="single"/>
          <w:vertAlign w:val="baseline"/>
          <w:rtl w:val="0"/>
        </w:rPr>
        <w:t xml:space="preserve">–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18"/>
              <w:szCs w:val="18"/>
              <w:u w:val="single"/>
              <w:vertAlign w:val="baseline"/>
              <w:rtl w:val="0"/>
            </w:rPr>
            <w:t xml:space="preserve"> თბილისის ვ. სარაჯიშვილის სახელობის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cadNusx" w:cs="AcadNusx" w:eastAsia="AcadNusx" w:hAnsi="AcadNusx"/>
          <w:b w:val="0"/>
          <w:i w:val="0"/>
          <w:sz w:val="18"/>
          <w:szCs w:val="18"/>
          <w:u w:val="single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18"/>
              <w:szCs w:val="18"/>
              <w:u w:val="single"/>
              <w:vertAlign w:val="baseline"/>
              <w:rtl w:val="0"/>
            </w:rPr>
            <w:t xml:space="preserve">სახელმწიფო კონსერვატორიის აკადემიური საბჭოს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cadNusx" w:cs="AcadNusx" w:eastAsia="AcadNusx" w:hAnsi="AcadNusx"/>
          <w:b w:val="0"/>
          <w:i w:val="0"/>
          <w:sz w:val="18"/>
          <w:szCs w:val="18"/>
          <w:u w:val="single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1"/>
              <w:sz w:val="18"/>
              <w:szCs w:val="18"/>
              <w:u w:val="single"/>
              <w:vertAlign w:val="baseline"/>
              <w:rtl w:val="0"/>
            </w:rPr>
            <w:t xml:space="preserve">2010 წლის  24 სექტემბრის  სხდომაზე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cadNusx" w:cs="AcadNusx" w:eastAsia="AcadNusx" w:hAnsi="AcadNusx"/>
          <w:b w:val="0"/>
          <w:i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cadNusx" w:cs="AcadNusx" w:eastAsia="AcadNusx" w:hAnsi="AcadNusx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cadNusx" w:cs="AcadNusx" w:eastAsia="AcadNusx" w:hAnsi="AcadNusx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თბილისის ვანო სარაჯიშვილის სახ. სახელმწიფო კონსერვატორია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cadNusx" w:cs="AcadNusx" w:eastAsia="AcadNusx" w:hAnsi="AcadNusx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cadNusx" w:cs="AcadNusx" w:eastAsia="AcadNusx" w:hAnsi="AcadNusx"/>
          <w:b w:val="0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სასწავლო გეგმა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cadNusx" w:cs="AcadNusx" w:eastAsia="AcadNusx" w:hAnsi="AcadNusx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cadNusx" w:cs="AcadNusx" w:eastAsia="AcadNusx" w:hAnsi="AcadNusx"/>
          <w:b w:val="0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სადოქტორო პროგრამა </w:t>
          </w:r>
        </w:sdtContent>
      </w:sdt>
      <w:r w:rsidDel="00000000" w:rsidR="00000000" w:rsidRPr="00000000">
        <w:rPr>
          <w:rFonts w:ascii="AcadNusx" w:cs="AcadNusx" w:eastAsia="AcadNusx" w:hAnsi="AcadNusx"/>
          <w:b w:val="1"/>
          <w:vertAlign w:val="baseline"/>
          <w:rtl w:val="0"/>
        </w:rPr>
        <w:t xml:space="preserve">_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 საშემსრულებლო ხელოვნება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560" w:hanging="1560"/>
        <w:rPr>
          <w:rFonts w:ascii="AcadNusx" w:cs="AcadNusx" w:eastAsia="AcadNusx" w:hAnsi="AcadNusx"/>
          <w:color w:val="ff0000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vertAlign w:val="baseline"/>
              <w:rtl w:val="0"/>
            </w:rPr>
            <w:t xml:space="preserve">სპეციალობა: 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სოლო ფორტეპიანო, კამერული ანსამბლი, საკონცერტმაისტერო დაოსტატება, საორკესტრო საკრავები, აკდემიური სიმღერა, აკადემიური გუნდის დირიჟორობა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cadNusx" w:cs="AcadNusx" w:eastAsia="AcadNusx" w:hAnsi="AcadNusx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"/>
        <w:gridCol w:w="2587"/>
        <w:gridCol w:w="566"/>
        <w:gridCol w:w="56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4"/>
        <w:gridCol w:w="720"/>
        <w:gridCol w:w="540"/>
        <w:tblGridChange w:id="0">
          <w:tblGrid>
            <w:gridCol w:w="388"/>
            <w:gridCol w:w="2587"/>
            <w:gridCol w:w="566"/>
            <w:gridCol w:w="569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0"/>
            <w:gridCol w:w="544"/>
            <w:gridCol w:w="720"/>
            <w:gridCol w:w="54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cadNusx" w:cs="AcadNusx" w:eastAsia="AcadNusx" w:hAnsi="AcadNusx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cadNusx" w:cs="AcadNusx" w:eastAsia="AcadNusx" w:hAnsi="AcadNusx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vertAlign w:val="baseline"/>
                    <w:rtl w:val="0"/>
                  </w:rPr>
                  <w:t xml:space="preserve">დისციპლინის დასახელება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236"/>
              </w:tabs>
              <w:jc w:val="center"/>
              <w:rPr>
                <w:rFonts w:ascii="AcadNusx" w:cs="AcadNusx" w:eastAsia="AcadNusx" w:hAnsi="AcadNusx"/>
                <w:b w:val="0"/>
                <w:sz w:val="18"/>
                <w:szCs w:val="18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vertAlign w:val="baseline"/>
                    <w:rtl w:val="0"/>
                  </w:rPr>
                  <w:t xml:space="preserve">საათებისა და კრედიტების განაწილება წლების მიხედვით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ind w:left="113" w:right="113" w:firstLine="0"/>
              <w:rPr>
                <w:rFonts w:ascii="AcadNusx" w:cs="AcadNusx" w:eastAsia="AcadNusx" w:hAnsi="AcadNusx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vertAlign w:val="baseline"/>
                    <w:rtl w:val="0"/>
                  </w:rPr>
                  <w:t xml:space="preserve">სულ საკ.საათები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ind w:left="113" w:right="113" w:firstLine="0"/>
              <w:rPr>
                <w:rFonts w:ascii="AcadNusx" w:cs="AcadNusx" w:eastAsia="AcadNusx" w:hAnsi="AcadNusx"/>
                <w:b w:val="0"/>
                <w:sz w:val="16"/>
                <w:szCs w:val="16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6"/>
                    <w:szCs w:val="16"/>
                    <w:vertAlign w:val="baseline"/>
                    <w:rtl w:val="0"/>
                  </w:rPr>
                  <w:t xml:space="preserve">სულ კრედიტები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cadNusx" w:cs="AcadNusx" w:eastAsia="AcadNusx" w:hAnsi="AcadNusx"/>
                <w:b w:val="0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I 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cadNusx" w:cs="AcadNusx" w:eastAsia="AcadNusx" w:hAnsi="AcadNusx"/>
                <w:b w:val="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II 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cadNusx" w:cs="AcadNusx" w:eastAsia="AcadNusx" w:hAnsi="AcadNusx"/>
                <w:b w:val="0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vertAlign w:val="baseline"/>
                    <w:rtl w:val="0"/>
                  </w:rPr>
                  <w:t xml:space="preserve">III წელი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8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I სემ.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II სემ.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III სემ.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IV სემ.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Style w:val="Heading2"/>
              <w:spacing w:before="0" w:lineRule="auto"/>
              <w:jc w:val="center"/>
              <w:rPr>
                <w:rFonts w:ascii="AcadNusx" w:cs="AcadNusx" w:eastAsia="AcadNusx" w:hAnsi="AcadNusx"/>
                <w:b w:val="0"/>
                <w:i w:val="0"/>
                <w:sz w:val="20"/>
                <w:szCs w:val="20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z w:val="20"/>
                    <w:szCs w:val="20"/>
                    <w:vertAlign w:val="baseline"/>
                    <w:rtl w:val="0"/>
                  </w:rPr>
                  <w:t xml:space="preserve">V სემ.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VI სემ.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საკ. სთ.</w:t>
                </w:r>
              </w:sdtContent>
            </w:sdt>
            <w:r w:rsidDel="00000000" w:rsidR="00000000" w:rsidRPr="00000000">
              <w:rPr>
                <w:rFonts w:ascii="AcadNusx" w:cs="AcadNusx" w:eastAsia="AcadNusx" w:hAnsi="AcadNusx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კრ.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საკ. სთ.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კრ.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საკ. სთ.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კრ.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საკ. სთ.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კრ.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საკ. სთ.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კრ.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საკ. სთ.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10490"/>
              </w:tabs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კრ.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cadNusx" w:cs="AcadNusx" w:eastAsia="AcadNusx" w:hAnsi="AcadNusx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სპეციალობის კლასი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7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სადისერტაციო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ნაშრომის მომზადება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სადისერტაციო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ნაშრომის დაცვა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ალტერნატიული სპეციალური სასწავლო კურსები</w:t>
                </w:r>
              </w:sdtContent>
            </w:sdt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superscript"/>
                <w:rtl w:val="0"/>
              </w:rPr>
              <w:t xml:space="preserve">,</w:t>
            </w:r>
            <w:r w:rsidDel="00000000" w:rsidR="00000000" w:rsidRPr="00000000">
              <w:rPr>
                <w:rFonts w:ascii="AcadNusx" w:cs="AcadNusx" w:eastAsia="AcadNusx" w:hAnsi="AcadNusx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პედაგოგიკის ტრადიციული და  თანამედროვე მეთოდები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აკადემიურ-პედაგოგიური პრაქტიკა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(ასისტენტურა)*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/15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pos="10490"/>
              </w:tabs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cadNusx" w:cs="AcadNusx" w:eastAsia="AcadNusx" w:hAnsi="AcadNusx"/>
                <w:sz w:val="20"/>
                <w:szCs w:val="20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სულ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572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cadNusx" w:cs="AcadNusx" w:eastAsia="AcadNusx" w:hAnsi="AcadNusx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2"/>
                <w:szCs w:val="22"/>
                <w:vertAlign w:val="baseline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ind w:right="639"/>
        <w:rPr>
          <w:rFonts w:ascii="AcadNusx" w:cs="AcadNusx" w:eastAsia="AcadNusx" w:hAnsi="AcadNusx"/>
          <w:b w:val="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   * </w:t>
      </w: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18"/>
              <w:szCs w:val="18"/>
              <w:vertAlign w:val="baseline"/>
              <w:rtl w:val="0"/>
            </w:rPr>
            <w:t xml:space="preserve">დასაშვებია სასწავლო კურსის გადანაცვლება შემდეგ სემესტრებში                              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right="639"/>
        <w:rPr>
          <w:rFonts w:ascii="Merriweather" w:cs="Merriweather" w:eastAsia="Merriweather" w:hAnsi="Merriweather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85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 Unicode MS"/>
  <w:font w:name="AcadNusx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სასწავლო გეგმაში აღნიშვნა საკ.სთ გულისხმობს მხოლოდ საკონტაქტო საათებს.</w:t>
          </w:r>
        </w:sdtContent>
      </w:sdt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დოქტორანტს უფლება აქვს გააკეთოს ინდივიდუალური განაცხადი ნებისმიერ სასწავლო კურსზე, რომელიც იკითხება კონსერვატორიაში, ან კონსერვატორიის პარტნიორ უმაღლეს საგანმანათლებლო დაწესებულებაში და შესაბამისობაშია დოქტორანტის საკვალიფიკაციო ნაშრომის თემატიკასთან. </w:t>
          </w:r>
        </w:sdtContent>
      </w:sdt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142" w:right="0" w:hanging="142"/>
        <w:jc w:val="both"/>
        <w:rPr>
          <w:rFonts w:ascii="AcadNusx" w:cs="AcadNusx" w:eastAsia="AcadNusx" w:hAnsi="AcadNusx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ალტერნატიული სპეციალური სასწავლო კურსების ხანგრძლივობა და მისი გავლის ვადები დგინდება დოქტორანტის ხელმძღვანელის რეკომენდაციის საფუძველზე, რომელსაც ამტკიცებს სადისერტაციო საბჭო.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>
    <w:name w:val="Heading 1 Char"/>
    <w:next w:val="Heading1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Heading5Char">
    <w:name w:val="Heading 5 Char"/>
    <w:next w:val="Heading5Ch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6Char">
    <w:name w:val="Heading 6 Char"/>
    <w:next w:val="Heading6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7Char">
    <w:name w:val="Heading 7 Char"/>
    <w:next w:val="Heading7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8Char">
    <w:name w:val="Heading 8 Char"/>
    <w:next w:val="Heading8Ch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9Char">
    <w:name w:val="Heading 9 Char"/>
    <w:next w:val="Heading9Char"/>
    <w:autoRedefine w:val="0"/>
    <w:hidden w:val="0"/>
    <w:qFormat w:val="0"/>
    <w:rPr>
      <w:rFonts w:ascii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rFonts w:ascii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basedOn w:val="Normal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Quote">
    <w:name w:val="Quote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character" w:styleId="QuoteChar">
    <w:name w:val="Quote Char"/>
    <w:next w:val="QuoteChar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suppressAutoHyphens w:val="1"/>
      <w:spacing w:line="1" w:lineRule="atLeast"/>
      <w:ind w:left="720" w:right="720" w:leftChars="-1" w:rightChars="0" w:firstLineChars="-1"/>
      <w:textDirection w:val="btLr"/>
      <w:textAlignment w:val="top"/>
      <w:outlineLvl w:val="0"/>
    </w:pPr>
    <w:rPr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IntenseQuoteChar">
    <w:name w:val="Intense Quote Char"/>
    <w:next w:val="IntenseQuoteChar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IntenseEmphasis">
    <w:name w:val="Intense Emphasis"/>
    <w:next w:val="IntenseEmphasis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SubtleReference">
    <w:name w:val="Subtle Reference"/>
    <w:next w:val="SubtleReference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IntenseReference">
    <w:name w:val="Intense Reference"/>
    <w:next w:val="IntenseReference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rFonts w:ascii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OCHeading">
    <w:name w:val="TOC Heading"/>
    <w:basedOn w:val="Heading1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en-US" w:eastAsia="en-US" w:val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zEuz6R0Z/1jN3r+TkTEvXegNWg==">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2008-07-16T13:10:00Z</dcterms:created>
  <dc:creator>Paata Ebralidze</dc:creator>
</cp:coreProperties>
</file>